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Default="008E201C" w:rsidP="008E201C">
      <w:pPr>
        <w:pStyle w:val="NormalWeb"/>
        <w:spacing w:before="0" w:beforeAutospacing="0" w:after="0" w:afterAutospacing="0"/>
        <w:jc w:val="both"/>
        <w:rPr>
          <w:rFonts w:ascii="Arial" w:eastAsiaTheme="majorEastAsia" w:hAnsi="Arial" w:cs="Arial"/>
          <w:b/>
          <w:bCs/>
          <w:caps/>
          <w:color w:val="002F5D"/>
          <w:sz w:val="22"/>
          <w:szCs w:val="22"/>
        </w:rPr>
      </w:pPr>
      <w:bookmarkStart w:id="0" w:name="OLE_LINK25"/>
      <w:bookmarkStart w:id="1" w:name="OLE_LINK26"/>
      <w:r w:rsidRPr="00FF557A">
        <w:rPr>
          <w:rFonts w:ascii="Arial" w:eastAsiaTheme="majorEastAsia" w:hAnsi="Arial" w:cs="Arial"/>
          <w:b/>
          <w:bCs/>
          <w:caps/>
          <w:color w:val="002F5D"/>
          <w:sz w:val="22"/>
          <w:szCs w:val="22"/>
        </w:rPr>
        <w:t>NACIONaLES</w:t>
      </w:r>
      <w:bookmarkEnd w:id="0"/>
      <w:bookmarkEnd w:id="1"/>
    </w:p>
    <w:p w:rsidR="002514CE" w:rsidRDefault="002514CE" w:rsidP="008E201C">
      <w:pPr>
        <w:pStyle w:val="NormalWeb"/>
        <w:spacing w:before="0" w:beforeAutospacing="0" w:after="0" w:afterAutospacing="0"/>
        <w:jc w:val="both"/>
        <w:rPr>
          <w:rFonts w:ascii="Arial" w:eastAsiaTheme="majorEastAsia" w:hAnsi="Arial" w:cs="Arial"/>
          <w:b/>
          <w:bCs/>
          <w:caps/>
          <w:color w:val="002F5D"/>
          <w:sz w:val="22"/>
          <w:szCs w:val="22"/>
        </w:rPr>
      </w:pPr>
    </w:p>
    <w:p w:rsidR="002514CE" w:rsidRPr="002514CE" w:rsidRDefault="002514CE" w:rsidP="008E201C">
      <w:pPr>
        <w:pStyle w:val="NormalWeb"/>
        <w:spacing w:before="0" w:beforeAutospacing="0" w:after="0" w:afterAutospacing="0"/>
        <w:jc w:val="both"/>
        <w:rPr>
          <w:rFonts w:ascii="Arial" w:hAnsi="Arial" w:cs="Arial"/>
          <w:b/>
          <w:bCs/>
          <w:caps/>
          <w:color w:val="17365D" w:themeColor="text2" w:themeShade="BF"/>
          <w:sz w:val="20"/>
          <w:szCs w:val="20"/>
        </w:rPr>
      </w:pPr>
      <w:r w:rsidRPr="002514CE">
        <w:rPr>
          <w:rFonts w:ascii="Arial" w:hAnsi="Arial" w:cs="Arial"/>
          <w:b/>
          <w:bCs/>
          <w:caps/>
          <w:color w:val="17365D" w:themeColor="text2" w:themeShade="BF"/>
          <w:sz w:val="20"/>
          <w:szCs w:val="20"/>
        </w:rPr>
        <w:t>LEGISLACION</w:t>
      </w:r>
    </w:p>
    <w:p w:rsidR="004B449C" w:rsidRDefault="004B449C" w:rsidP="008E201C">
      <w:pPr>
        <w:pStyle w:val="NormalWeb"/>
        <w:spacing w:before="0" w:beforeAutospacing="0" w:after="0" w:afterAutospacing="0"/>
        <w:jc w:val="both"/>
        <w:rPr>
          <w:rFonts w:ascii="Arial" w:eastAsiaTheme="majorEastAsia" w:hAnsi="Arial" w:cs="Arial"/>
          <w:b/>
          <w:bCs/>
          <w:caps/>
          <w:color w:val="002F5D"/>
          <w:sz w:val="22"/>
          <w:szCs w:val="22"/>
        </w:rPr>
      </w:pPr>
    </w:p>
    <w:p w:rsidR="00866BC8" w:rsidRDefault="00866BC8" w:rsidP="00866BC8">
      <w:pPr>
        <w:jc w:val="both"/>
        <w:rPr>
          <w:rFonts w:ascii="Arial" w:eastAsia="Times New Roman" w:hAnsi="Arial" w:cs="Arial"/>
          <w:b/>
          <w:bCs/>
          <w:color w:val="FCC400"/>
          <w:sz w:val="18"/>
          <w:szCs w:val="18"/>
        </w:rPr>
      </w:pPr>
      <w:r>
        <w:rPr>
          <w:rFonts w:ascii="Arial" w:hAnsi="Arial" w:cs="Arial"/>
          <w:b/>
          <w:bCs/>
          <w:caps/>
          <w:color w:val="376889"/>
          <w:sz w:val="21"/>
          <w:szCs w:val="21"/>
        </w:rPr>
        <w:t xml:space="preserve">Impuesto sobre los Combustibles Líquidos y al Dióxido de Carbono. Impuesto sobre los combustibles líquidos. Importes fijos aplicables - </w:t>
      </w:r>
      <w:r w:rsidRPr="00866BC8">
        <w:rPr>
          <w:rFonts w:ascii="Arial" w:hAnsi="Arial" w:cs="Arial"/>
          <w:b/>
          <w:bCs/>
          <w:caps/>
          <w:color w:val="376889"/>
          <w:sz w:val="21"/>
          <w:szCs w:val="21"/>
        </w:rPr>
        <w:t>DECRETO (Poder Ejecutivo) 167/2019</w:t>
      </w:r>
    </w:p>
    <w:p w:rsidR="00844AE1" w:rsidRDefault="00844AE1" w:rsidP="00844AE1">
      <w:pPr>
        <w:pStyle w:val="NormalWeb"/>
        <w:spacing w:before="0" w:beforeAutospacing="0" w:after="0" w:afterAutospacing="0"/>
        <w:jc w:val="both"/>
        <w:rPr>
          <w:rFonts w:ascii="Arial" w:hAnsi="Arial" w:cs="Arial"/>
          <w:b/>
          <w:bCs/>
          <w:caps/>
          <w:color w:val="376889"/>
          <w:sz w:val="21"/>
          <w:szCs w:val="21"/>
        </w:rPr>
      </w:pPr>
    </w:p>
    <w:p w:rsidR="00866BC8" w:rsidRPr="002514CE" w:rsidRDefault="00866BC8" w:rsidP="00844AE1">
      <w:pPr>
        <w:pStyle w:val="NormalWeb"/>
        <w:spacing w:before="0" w:beforeAutospacing="0" w:after="0" w:afterAutospacing="0"/>
        <w:jc w:val="both"/>
        <w:rPr>
          <w:rFonts w:ascii="Arial" w:hAnsi="Arial" w:cs="Arial"/>
          <w:b/>
          <w:bCs/>
          <w:caps/>
          <w:color w:val="17365D" w:themeColor="text2" w:themeShade="BF"/>
          <w:sz w:val="21"/>
          <w:szCs w:val="21"/>
        </w:rPr>
      </w:pPr>
    </w:p>
    <w:p w:rsidR="00866BC8" w:rsidRDefault="00866BC8" w:rsidP="00844AE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Se establece un incremento de $ 0,485 por litro en el impuesto sobre los combustibles para las naftas, gasolina solvente y aguarrás, y de $ 0,282 para el litro de gas </w:t>
      </w:r>
      <w:proofErr w:type="spellStart"/>
      <w:r>
        <w:rPr>
          <w:rFonts w:ascii="Arial" w:eastAsia="Times New Roman" w:hAnsi="Arial" w:cs="Arial"/>
          <w:color w:val="666666"/>
          <w:sz w:val="20"/>
          <w:szCs w:val="20"/>
        </w:rPr>
        <w:t>oil</w:t>
      </w:r>
      <w:proofErr w:type="spellEnd"/>
      <w:r>
        <w:rPr>
          <w:rFonts w:ascii="Arial" w:eastAsia="Times New Roman" w:hAnsi="Arial" w:cs="Arial"/>
          <w:color w:val="666666"/>
          <w:sz w:val="20"/>
          <w:szCs w:val="20"/>
        </w:rPr>
        <w:t xml:space="preserve">, </w:t>
      </w:r>
      <w:proofErr w:type="spellStart"/>
      <w:r>
        <w:rPr>
          <w:rFonts w:ascii="Arial" w:eastAsia="Times New Roman" w:hAnsi="Arial" w:cs="Arial"/>
          <w:color w:val="666666"/>
          <w:sz w:val="20"/>
          <w:szCs w:val="20"/>
        </w:rPr>
        <w:t>diésel</w:t>
      </w:r>
      <w:proofErr w:type="spellEnd"/>
      <w:r>
        <w:rPr>
          <w:rFonts w:ascii="Arial" w:eastAsia="Times New Roman" w:hAnsi="Arial" w:cs="Arial"/>
          <w:color w:val="666666"/>
          <w:sz w:val="20"/>
          <w:szCs w:val="20"/>
        </w:rPr>
        <w:t xml:space="preserve"> </w:t>
      </w:r>
      <w:proofErr w:type="spellStart"/>
      <w:r>
        <w:rPr>
          <w:rFonts w:ascii="Arial" w:eastAsia="Times New Roman" w:hAnsi="Arial" w:cs="Arial"/>
          <w:color w:val="666666"/>
          <w:sz w:val="20"/>
          <w:szCs w:val="20"/>
        </w:rPr>
        <w:t>oil</w:t>
      </w:r>
      <w:proofErr w:type="spellEnd"/>
      <w:r>
        <w:rPr>
          <w:rFonts w:ascii="Arial" w:eastAsia="Times New Roman" w:hAnsi="Arial" w:cs="Arial"/>
          <w:color w:val="666666"/>
          <w:sz w:val="20"/>
          <w:szCs w:val="20"/>
        </w:rPr>
        <w:t xml:space="preserve"> y kerosene, aplicable durante el mes de marzo de 2019, y a partir del 1/4/2019 se establece un nuevo incremento de $ 0,548 por litro para naftas, gasolina solvente y aguarrás, y de $ 0,355 para el gas </w:t>
      </w:r>
      <w:proofErr w:type="spellStart"/>
      <w:r>
        <w:rPr>
          <w:rFonts w:ascii="Arial" w:eastAsia="Times New Roman" w:hAnsi="Arial" w:cs="Arial"/>
          <w:color w:val="666666"/>
          <w:sz w:val="20"/>
          <w:szCs w:val="20"/>
        </w:rPr>
        <w:t>oil</w:t>
      </w:r>
      <w:proofErr w:type="spellEnd"/>
      <w:r>
        <w:rPr>
          <w:rFonts w:ascii="Arial" w:eastAsia="Times New Roman" w:hAnsi="Arial" w:cs="Arial"/>
          <w:color w:val="666666"/>
          <w:sz w:val="20"/>
          <w:szCs w:val="20"/>
        </w:rPr>
        <w:t xml:space="preserve">, </w:t>
      </w:r>
      <w:proofErr w:type="spellStart"/>
      <w:r>
        <w:rPr>
          <w:rFonts w:ascii="Arial" w:eastAsia="Times New Roman" w:hAnsi="Arial" w:cs="Arial"/>
          <w:color w:val="666666"/>
          <w:sz w:val="20"/>
          <w:szCs w:val="20"/>
        </w:rPr>
        <w:t>diésel</w:t>
      </w:r>
      <w:proofErr w:type="spellEnd"/>
      <w:r>
        <w:rPr>
          <w:rFonts w:ascii="Arial" w:eastAsia="Times New Roman" w:hAnsi="Arial" w:cs="Arial"/>
          <w:color w:val="666666"/>
          <w:sz w:val="20"/>
          <w:szCs w:val="20"/>
        </w:rPr>
        <w:t xml:space="preserve"> </w:t>
      </w:r>
      <w:proofErr w:type="spellStart"/>
      <w:r>
        <w:rPr>
          <w:rFonts w:ascii="Arial" w:eastAsia="Times New Roman" w:hAnsi="Arial" w:cs="Arial"/>
          <w:color w:val="666666"/>
          <w:sz w:val="20"/>
          <w:szCs w:val="20"/>
        </w:rPr>
        <w:t>oil</w:t>
      </w:r>
      <w:proofErr w:type="spellEnd"/>
      <w:r>
        <w:rPr>
          <w:rFonts w:ascii="Arial" w:eastAsia="Times New Roman" w:hAnsi="Arial" w:cs="Arial"/>
          <w:color w:val="666666"/>
          <w:sz w:val="20"/>
          <w:szCs w:val="20"/>
        </w:rPr>
        <w:t xml:space="preserve"> y kerosene.</w:t>
      </w:r>
    </w:p>
    <w:p w:rsidR="004B449C" w:rsidRPr="00844AE1" w:rsidRDefault="00866BC8" w:rsidP="00844AE1">
      <w:pPr>
        <w:pStyle w:val="NormalWeb"/>
        <w:spacing w:before="0" w:beforeAutospacing="0" w:after="0" w:afterAutospacing="0" w:line="360" w:lineRule="auto"/>
        <w:jc w:val="both"/>
        <w:rPr>
          <w:rFonts w:ascii="Arial" w:eastAsia="Times New Roman" w:hAnsi="Arial" w:cs="Arial"/>
          <w:b/>
          <w:bCs/>
          <w:color w:val="666666"/>
          <w:sz w:val="18"/>
          <w:szCs w:val="18"/>
        </w:rPr>
      </w:pPr>
      <w:r>
        <w:rPr>
          <w:rFonts w:ascii="Arial" w:eastAsia="Times New Roman" w:hAnsi="Arial" w:cs="Arial"/>
          <w:color w:val="666666"/>
          <w:sz w:val="20"/>
          <w:szCs w:val="20"/>
        </w:rPr>
        <w:t>De tal forma, el incremento trimestral del impuesto ha quedado desdoblado en dos etapas</w:t>
      </w:r>
      <w:r w:rsidR="0072282B" w:rsidRPr="0072282B">
        <w:rPr>
          <w:rFonts w:ascii="Arial" w:eastAsia="Times New Roman" w:hAnsi="Arial" w:cs="Arial"/>
          <w:b/>
          <w:bCs/>
          <w:color w:val="666666"/>
          <w:sz w:val="18"/>
          <w:szCs w:val="18"/>
        </w:rPr>
        <w:t>.</w:t>
      </w:r>
    </w:p>
    <w:p w:rsidR="00DC197E" w:rsidRDefault="00DC197E" w:rsidP="008E201C">
      <w:pPr>
        <w:pStyle w:val="NormalWeb"/>
        <w:spacing w:before="0" w:beforeAutospacing="0" w:after="0" w:afterAutospacing="0"/>
        <w:jc w:val="both"/>
        <w:rPr>
          <w:rFonts w:ascii="Arial" w:eastAsiaTheme="majorEastAsia" w:hAnsi="Arial" w:cs="Arial"/>
          <w:b/>
          <w:bCs/>
          <w:caps/>
          <w:color w:val="002F5D"/>
          <w:sz w:val="22"/>
          <w:szCs w:val="22"/>
        </w:rPr>
      </w:pPr>
    </w:p>
    <w:tbl>
      <w:tblPr>
        <w:tblW w:w="5000" w:type="pct"/>
        <w:tblCellSpacing w:w="37" w:type="dxa"/>
        <w:tblCellMar>
          <w:left w:w="0" w:type="dxa"/>
          <w:right w:w="0" w:type="dxa"/>
        </w:tblCellMar>
        <w:tblLook w:val="04A0"/>
      </w:tblPr>
      <w:tblGrid>
        <w:gridCol w:w="8937"/>
      </w:tblGrid>
      <w:tr w:rsidR="00866BC8" w:rsidRPr="00866BC8" w:rsidTr="00866BC8">
        <w:trPr>
          <w:tblCellSpacing w:w="37" w:type="dxa"/>
        </w:trPr>
        <w:tc>
          <w:tcPr>
            <w:tcW w:w="4917" w:type="pct"/>
            <w:shd w:val="clear" w:color="auto" w:fill="FDE9D9" w:themeFill="accent6" w:themeFillTint="33"/>
            <w:hideMark/>
          </w:tcPr>
          <w:p w:rsidR="00866BC8" w:rsidRPr="00866BC8" w:rsidRDefault="00866BC8" w:rsidP="00866BC8">
            <w:pPr>
              <w:spacing w:line="360" w:lineRule="auto"/>
              <w:jc w:val="both"/>
              <w:rPr>
                <w:rFonts w:ascii="Arial" w:hAnsi="Arial" w:cs="Arial"/>
                <w:b/>
                <w:bCs/>
                <w:caps/>
                <w:color w:val="376889"/>
                <w:sz w:val="21"/>
                <w:szCs w:val="21"/>
              </w:rPr>
            </w:pPr>
            <w:r w:rsidRPr="00866BC8">
              <w:rPr>
                <w:rFonts w:ascii="Arial" w:hAnsi="Arial" w:cs="Arial"/>
                <w:b/>
                <w:bCs/>
                <w:caps/>
                <w:color w:val="376889"/>
                <w:sz w:val="21"/>
                <w:szCs w:val="21"/>
              </w:rPr>
              <w:t xml:space="preserve">Factura de crédito electrónica </w:t>
            </w:r>
            <w:proofErr w:type="spellStart"/>
            <w:r w:rsidRPr="00866BC8">
              <w:rPr>
                <w:rFonts w:ascii="Arial" w:hAnsi="Arial" w:cs="Arial"/>
                <w:b/>
                <w:bCs/>
                <w:caps/>
                <w:color w:val="376889"/>
                <w:sz w:val="21"/>
                <w:szCs w:val="21"/>
              </w:rPr>
              <w:t>mipymes</w:t>
            </w:r>
            <w:proofErr w:type="spellEnd"/>
          </w:p>
        </w:tc>
      </w:tr>
      <w:tr w:rsidR="00D54A9C" w:rsidTr="005F022C">
        <w:trPr>
          <w:tblCellSpacing w:w="37" w:type="dxa"/>
        </w:trPr>
        <w:tc>
          <w:tcPr>
            <w:tcW w:w="4917" w:type="pct"/>
            <w:hideMark/>
          </w:tcPr>
          <w:p w:rsidR="00866BC8" w:rsidRDefault="00866BC8" w:rsidP="00866BC8">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Listado de grandes empresas y empresas relacionadas con la industria automotriz</w:t>
            </w:r>
          </w:p>
          <w:p w:rsidR="00866BC8" w:rsidRDefault="00866BC8" w:rsidP="00866BC8">
            <w:pPr>
              <w:pStyle w:val="NormalWeb"/>
              <w:spacing w:before="0" w:beforeAutospacing="0" w:after="0" w:afterAutospacing="0"/>
              <w:jc w:val="both"/>
              <w:rPr>
                <w:rFonts w:ascii="Arial" w:hAnsi="Arial" w:cs="Arial"/>
                <w:b/>
                <w:bCs/>
                <w:caps/>
                <w:color w:val="376889"/>
                <w:sz w:val="21"/>
                <w:szCs w:val="21"/>
              </w:rPr>
            </w:pPr>
          </w:p>
          <w:p w:rsidR="00D54A9C" w:rsidRDefault="00866BC8" w:rsidP="00866BC8">
            <w:pPr>
              <w:spacing w:line="360" w:lineRule="auto"/>
              <w:jc w:val="both"/>
              <w:rPr>
                <w:rFonts w:ascii="Arial" w:eastAsia="Times New Roman" w:hAnsi="Arial" w:cs="Arial"/>
                <w:b/>
                <w:bCs/>
                <w:color w:val="666666"/>
                <w:sz w:val="18"/>
                <w:szCs w:val="18"/>
              </w:rPr>
            </w:pPr>
            <w:r>
              <w:rPr>
                <w:rFonts w:ascii="Arial" w:eastAsia="Times New Roman" w:hAnsi="Arial" w:cs="Arial"/>
                <w:color w:val="666666"/>
                <w:sz w:val="20"/>
                <w:szCs w:val="20"/>
              </w:rPr>
              <w:t xml:space="preserve">La AFIP difunde, en su página web, el listado de empresas grandes que se encuentran obligadas a recibir factura de crédito electrónica </w:t>
            </w:r>
            <w:proofErr w:type="spellStart"/>
            <w:r>
              <w:rPr>
                <w:rFonts w:ascii="Arial" w:eastAsia="Times New Roman" w:hAnsi="Arial" w:cs="Arial"/>
                <w:color w:val="666666"/>
                <w:sz w:val="20"/>
                <w:szCs w:val="20"/>
              </w:rPr>
              <w:t>mipymes</w:t>
            </w:r>
            <w:proofErr w:type="spellEnd"/>
            <w:r>
              <w:rPr>
                <w:rFonts w:ascii="Arial" w:eastAsia="Times New Roman" w:hAnsi="Arial" w:cs="Arial"/>
                <w:color w:val="666666"/>
                <w:sz w:val="20"/>
                <w:szCs w:val="20"/>
              </w:rPr>
              <w:t>. Recordamos que en la primera etapa se encuentran obligadas al régimen las micro, pequeñas y medianas empresas que realicen operaciones con las empresas grandes del sector automotriz</w:t>
            </w:r>
            <w:r w:rsidR="00D54A9C" w:rsidRPr="00D54A9C">
              <w:rPr>
                <w:rFonts w:ascii="Arial" w:eastAsia="Times New Roman" w:hAnsi="Arial" w:cs="Arial"/>
                <w:b/>
                <w:bCs/>
                <w:color w:val="666666"/>
                <w:sz w:val="18"/>
                <w:szCs w:val="18"/>
              </w:rPr>
              <w:t>.</w:t>
            </w:r>
          </w:p>
          <w:p w:rsidR="005F022C" w:rsidRPr="00D54A9C" w:rsidRDefault="005F022C" w:rsidP="005F022C">
            <w:pPr>
              <w:spacing w:line="360" w:lineRule="auto"/>
              <w:jc w:val="both"/>
              <w:rPr>
                <w:rFonts w:ascii="Arial" w:eastAsia="Times New Roman" w:hAnsi="Arial" w:cs="Arial"/>
                <w:b/>
                <w:bCs/>
                <w:color w:val="666666"/>
                <w:sz w:val="18"/>
                <w:szCs w:val="18"/>
              </w:rPr>
            </w:pPr>
          </w:p>
        </w:tc>
      </w:tr>
    </w:tbl>
    <w:p w:rsidR="00AC7C2C" w:rsidRPr="005F022C" w:rsidRDefault="005F022C" w:rsidP="005F022C">
      <w:pPr>
        <w:pStyle w:val="NormalWeb"/>
        <w:spacing w:before="0" w:beforeAutospacing="0" w:after="0" w:afterAutospacing="0"/>
        <w:jc w:val="center"/>
        <w:rPr>
          <w:rFonts w:ascii="Arial" w:hAnsi="Arial" w:cs="Arial"/>
          <w:b/>
          <w:bCs/>
          <w:caps/>
          <w:color w:val="7E4F6F"/>
        </w:rPr>
      </w:pPr>
      <w:r w:rsidRPr="005F022C">
        <w:rPr>
          <w:rFonts w:ascii="Arial" w:hAnsi="Arial" w:cs="Arial"/>
          <w:b/>
          <w:bCs/>
          <w:caps/>
          <w:color w:val="7E4F6F"/>
        </w:rPr>
        <w:t>LABORALES – PREVISIONALES</w:t>
      </w:r>
    </w:p>
    <w:p w:rsidR="005F022C" w:rsidRDefault="005F022C" w:rsidP="00AC7C2C">
      <w:pPr>
        <w:pStyle w:val="NormalWeb"/>
        <w:spacing w:before="0" w:beforeAutospacing="0" w:after="0" w:afterAutospacing="0"/>
        <w:jc w:val="both"/>
        <w:rPr>
          <w:rFonts w:ascii="Arial" w:hAnsi="Arial" w:cs="Arial"/>
          <w:b/>
          <w:bCs/>
          <w:caps/>
          <w:color w:val="7E4F6F"/>
          <w:sz w:val="18"/>
          <w:szCs w:val="18"/>
        </w:rPr>
      </w:pPr>
    </w:p>
    <w:p w:rsidR="005F022C" w:rsidRPr="005F022C" w:rsidRDefault="00866BC8" w:rsidP="00AC7C2C">
      <w:pPr>
        <w:pStyle w:val="NormalWeb"/>
        <w:spacing w:before="0" w:beforeAutospacing="0" w:after="0" w:afterAutospacing="0"/>
        <w:jc w:val="both"/>
        <w:rPr>
          <w:rFonts w:ascii="Arial" w:hAnsi="Arial" w:cs="Arial"/>
          <w:b/>
          <w:bCs/>
          <w:caps/>
          <w:color w:val="7E4F6F"/>
          <w:sz w:val="18"/>
          <w:szCs w:val="18"/>
        </w:rPr>
      </w:pPr>
      <w:r>
        <w:rPr>
          <w:rFonts w:ascii="Arial" w:hAnsi="Arial" w:cs="Arial"/>
          <w:b/>
          <w:bCs/>
          <w:caps/>
          <w:color w:val="7E4F6F"/>
          <w:sz w:val="18"/>
          <w:szCs w:val="18"/>
        </w:rPr>
        <w:t>LEGISLACION</w:t>
      </w:r>
    </w:p>
    <w:p w:rsidR="00AC7C2C" w:rsidRDefault="00AC7C2C" w:rsidP="00AC7C2C">
      <w:pPr>
        <w:pStyle w:val="NormalWeb"/>
        <w:spacing w:before="0" w:beforeAutospacing="0" w:after="0" w:afterAutospacing="0"/>
        <w:jc w:val="both"/>
        <w:rPr>
          <w:rFonts w:ascii="Arial" w:hAnsi="Arial" w:cs="Arial"/>
          <w:b/>
          <w:bCs/>
          <w:caps/>
          <w:color w:val="7E4F6F"/>
          <w:sz w:val="18"/>
          <w:szCs w:val="18"/>
        </w:rPr>
      </w:pPr>
    </w:p>
    <w:p w:rsidR="005F022C" w:rsidRDefault="00866BC8" w:rsidP="005F022C">
      <w:pPr>
        <w:pStyle w:val="NormalWeb"/>
        <w:spacing w:before="0" w:beforeAutospacing="0" w:after="0" w:afterAutospacing="0"/>
        <w:jc w:val="both"/>
        <w:rPr>
          <w:rFonts w:ascii="Arial" w:hAnsi="Arial" w:cs="Arial"/>
          <w:b/>
          <w:bCs/>
          <w:caps/>
          <w:color w:val="7E4F6F"/>
          <w:sz w:val="18"/>
          <w:szCs w:val="18"/>
        </w:rPr>
      </w:pPr>
      <w:r w:rsidRPr="00866BC8">
        <w:rPr>
          <w:rFonts w:ascii="Arial" w:hAnsi="Arial" w:cs="Arial"/>
          <w:b/>
          <w:bCs/>
          <w:caps/>
          <w:color w:val="7E4F6F"/>
          <w:sz w:val="18"/>
          <w:szCs w:val="18"/>
        </w:rPr>
        <w:t>Recursos de la Seguridad Social. Sistema de Gestión Documental Electrónica - GDE. Legalización de documentación. Implementación de la Apostilla Electróni</w:t>
      </w:r>
      <w:r w:rsidR="005F022C">
        <w:rPr>
          <w:rFonts w:ascii="Arial" w:hAnsi="Arial" w:cs="Arial"/>
          <w:b/>
          <w:bCs/>
          <w:caps/>
          <w:color w:val="7E4F6F"/>
          <w:sz w:val="18"/>
          <w:szCs w:val="18"/>
        </w:rPr>
        <w:t>A</w:t>
      </w:r>
      <w:r>
        <w:rPr>
          <w:rFonts w:ascii="Arial" w:hAnsi="Arial" w:cs="Arial"/>
          <w:b/>
          <w:bCs/>
          <w:caps/>
          <w:color w:val="7E4F6F"/>
          <w:sz w:val="18"/>
          <w:szCs w:val="18"/>
        </w:rPr>
        <w:t xml:space="preserve"> - </w:t>
      </w:r>
      <w:r w:rsidRPr="00866BC8">
        <w:rPr>
          <w:rFonts w:ascii="Arial" w:hAnsi="Arial" w:cs="Arial"/>
          <w:b/>
          <w:bCs/>
          <w:caps/>
          <w:color w:val="7E4F6F"/>
          <w:sz w:val="18"/>
          <w:szCs w:val="18"/>
        </w:rPr>
        <w:t>DECRETO (Poder Ejecutivo) 172/201</w:t>
      </w:r>
    </w:p>
    <w:p w:rsidR="005F022C" w:rsidRDefault="005F022C" w:rsidP="005F022C">
      <w:pPr>
        <w:pStyle w:val="NormalWeb"/>
        <w:spacing w:before="0" w:beforeAutospacing="0" w:after="0" w:afterAutospacing="0"/>
        <w:jc w:val="both"/>
        <w:rPr>
          <w:rFonts w:ascii="Arial" w:hAnsi="Arial" w:cs="Arial"/>
          <w:b/>
          <w:bCs/>
          <w:caps/>
          <w:color w:val="7E4F6F"/>
          <w:sz w:val="18"/>
          <w:szCs w:val="18"/>
        </w:rPr>
      </w:pPr>
    </w:p>
    <w:p w:rsidR="00866BC8" w:rsidRDefault="00866BC8" w:rsidP="00866BC8">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aprueba, a partir del 1 de marzo de 2019, la utilización del Sistema de Gestión Documental Electrónica - GDE para las legalizaciones destinadas a otorgar validez internacional a los documentos públicos.</w:t>
      </w:r>
    </w:p>
    <w:p w:rsidR="00AC7C2C" w:rsidRDefault="00866BC8" w:rsidP="00866BC8">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Asimismo, se implementa la utilización de la Apostilla Electrónica para legalizar los documentos públicos generados o reproducidos en soporte electrónico, digitalizados y considerados originales.</w:t>
      </w:r>
    </w:p>
    <w:p w:rsidR="00866BC8" w:rsidRDefault="00866BC8" w:rsidP="00866BC8">
      <w:pPr>
        <w:spacing w:line="360" w:lineRule="auto"/>
        <w:jc w:val="both"/>
        <w:rPr>
          <w:rFonts w:ascii="Arial" w:eastAsia="Times New Roman" w:hAnsi="Arial" w:cs="Arial"/>
          <w:color w:val="666666"/>
          <w:sz w:val="20"/>
          <w:szCs w:val="20"/>
        </w:rPr>
      </w:pPr>
    </w:p>
    <w:p w:rsidR="00866BC8" w:rsidRDefault="00866BC8" w:rsidP="00866BC8">
      <w:pPr>
        <w:pStyle w:val="Ttulo1"/>
      </w:pPr>
      <w:r>
        <w:lastRenderedPageBreak/>
        <w:t>Dólar: Las Causas De La Nueva Disparada</w:t>
      </w:r>
    </w:p>
    <w:p w:rsidR="00866BC8" w:rsidRDefault="00866BC8" w:rsidP="00866BC8">
      <w:pPr>
        <w:rPr>
          <w:rFonts w:ascii="Arial" w:eastAsia="Times New Roman" w:hAnsi="Arial" w:cs="Arial"/>
          <w:color w:val="666666"/>
          <w:sz w:val="20"/>
          <w:szCs w:val="20"/>
        </w:rPr>
      </w:pPr>
      <w:r w:rsidRPr="00866BC8">
        <w:rPr>
          <w:rFonts w:ascii="Arial" w:eastAsia="Times New Roman" w:hAnsi="Arial" w:cs="Arial"/>
          <w:color w:val="666666"/>
          <w:sz w:val="20"/>
          <w:szCs w:val="20"/>
        </w:rPr>
        <w:t>8 marzo, 2019 – Ambito.com</w:t>
      </w:r>
    </w:p>
    <w:p w:rsidR="00866BC8" w:rsidRDefault="00866BC8" w:rsidP="00866BC8">
      <w:pPr>
        <w:pStyle w:val="NormalWeb"/>
        <w:jc w:val="both"/>
      </w:pPr>
      <w:r>
        <w:t>Reapareció la “fiebre verde” el dólar pasó en solo una jornada de $ 41,72 a $ 43,50. La suba se debe a un combo de factores entre los que predominan las causas domésticas aseguran analistas a ámbito.com.</w:t>
      </w:r>
    </w:p>
    <w:p w:rsidR="00866BC8" w:rsidRDefault="00866BC8" w:rsidP="00866BC8">
      <w:pPr>
        <w:pStyle w:val="NormalWeb"/>
        <w:jc w:val="both"/>
      </w:pPr>
      <w:r>
        <w:t xml:space="preserve">Reapareció la “fiebre verde” con fuerza este jueves por un combo de factores (entre los que predominan causas domésticas), y el dólar pasó en solo una jornada de $ 41,72 a $ 43,50, una suba de casi $ 2 (+4,3%),que vuelve a encender las alarmas en el equipo económico de la administración del presidente Mauricio </w:t>
      </w:r>
      <w:proofErr w:type="spellStart"/>
      <w:r>
        <w:t>Macri</w:t>
      </w:r>
      <w:proofErr w:type="spellEnd"/>
      <w:r>
        <w:t>.</w:t>
      </w:r>
    </w:p>
    <w:p w:rsidR="00866BC8" w:rsidRDefault="00866BC8" w:rsidP="00866BC8">
      <w:pPr>
        <w:pStyle w:val="NormalWeb"/>
        <w:jc w:val="both"/>
      </w:pPr>
      <w:r>
        <w:t xml:space="preserve">La divisa estadounidense aceleró su escala alcista frente al peso en el último tramo de la jornada, y marcó un nuevo máximo histórico nominal, superando por amplio margen el récord de septiembre pasado ($ 41,94), días antes de que se implementara el nuevo esquema monetario acordado con el FMI, y previo a la asunción de Guido </w:t>
      </w:r>
      <w:proofErr w:type="spellStart"/>
      <w:r>
        <w:t>Sandleris</w:t>
      </w:r>
      <w:proofErr w:type="spellEnd"/>
      <w:r>
        <w:t xml:space="preserve"> al frente del BCRA.</w:t>
      </w:r>
    </w:p>
    <w:p w:rsidR="00866BC8" w:rsidRDefault="00866BC8" w:rsidP="00866BC8">
      <w:pPr>
        <w:pStyle w:val="NormalWeb"/>
        <w:jc w:val="both"/>
      </w:pPr>
      <w:r>
        <w:t>La manifiesta suba del dólar en la plaza local estuvo en línea con el avance de la divisa en los mercados emergentes (como en Brasil y en Turquía), aunque en Argentina el incremento fue muy superior. “Siempre nos vamos a mover más que ellos”, reconocen fuentes oficiales.</w:t>
      </w:r>
    </w:p>
    <w:p w:rsidR="00866BC8" w:rsidRDefault="00866BC8" w:rsidP="00866BC8">
      <w:pPr>
        <w:pStyle w:val="NormalWeb"/>
        <w:jc w:val="both"/>
      </w:pPr>
      <w:r>
        <w:t>¿Por qué? En nuestro país asoman las vulnerabilidades económicas (alta inflación; déficit fiscal; actividad en franca recesión), pero también comienza a tomar fuerza la incertidumbre electoral.</w:t>
      </w:r>
    </w:p>
    <w:p w:rsidR="00866BC8" w:rsidRDefault="00866BC8" w:rsidP="00866BC8">
      <w:pPr>
        <w:pStyle w:val="NormalWeb"/>
        <w:jc w:val="both"/>
      </w:pPr>
      <w:r>
        <w:t xml:space="preserve">Si bien el Banco Central buscó frenar la suba de la moneda de EEUU desde que inició el mes, mediante incrementos diarios en la tasa de </w:t>
      </w:r>
      <w:proofErr w:type="spellStart"/>
      <w:r>
        <w:t>Leliq</w:t>
      </w:r>
      <w:proofErr w:type="spellEnd"/>
      <w:r>
        <w:t>, absorbiendo -incluso- mayor liquidez, por el momento su intento es en vano, mientras el riesgo país argentino escalaba casi 5% y se acercaba nuevamente a los 800 puntos.</w:t>
      </w:r>
    </w:p>
    <w:p w:rsidR="00866BC8" w:rsidRDefault="00866BC8" w:rsidP="00866BC8">
      <w:pPr>
        <w:pStyle w:val="NormalWeb"/>
        <w:jc w:val="both"/>
      </w:pPr>
      <w:r>
        <w:t>“Absorbimos 8% de la base monetaria en dos días, o el equivalente de más de 2 billones de dólares, las tasas que son endógenas, subieron en respuesta a la mayor absorción”, explicaron fuentes del BCRA.</w:t>
      </w:r>
    </w:p>
    <w:p w:rsidR="00866BC8" w:rsidRDefault="00866BC8" w:rsidP="00866BC8">
      <w:pPr>
        <w:pStyle w:val="NormalWeb"/>
        <w:jc w:val="both"/>
      </w:pPr>
      <w:r>
        <w:t>Este jueves retiró $ 63.200 millones, el miércoles $ 40.500 millones, mientras que el viernes pasado había aspirado $ 33.300 millones. “Hay que darle cierto tiempo a la restricción de liquidez a que vaya estabilizando el mercado de pesos y dólares”, reiteran en la autoridad monetaria.</w:t>
      </w:r>
    </w:p>
    <w:p w:rsidR="00866BC8" w:rsidRDefault="00866BC8" w:rsidP="00866BC8">
      <w:pPr>
        <w:pStyle w:val="NormalWeb"/>
        <w:jc w:val="both"/>
      </w:pPr>
      <w:r>
        <w:rPr>
          <w:rStyle w:val="Textoennegrita"/>
        </w:rPr>
        <w:t>Argentina “</w:t>
      </w:r>
      <w:proofErr w:type="spellStart"/>
      <w:r>
        <w:rPr>
          <w:rStyle w:val="Textoennegrita"/>
        </w:rPr>
        <w:t>high</w:t>
      </w:r>
      <w:proofErr w:type="spellEnd"/>
      <w:r>
        <w:rPr>
          <w:rStyle w:val="Textoennegrita"/>
        </w:rPr>
        <w:t xml:space="preserve"> beta”</w:t>
      </w:r>
    </w:p>
    <w:p w:rsidR="00866BC8" w:rsidRDefault="00866BC8" w:rsidP="00866BC8">
      <w:pPr>
        <w:pStyle w:val="NormalWeb"/>
        <w:jc w:val="both"/>
      </w:pPr>
      <w:r>
        <w:t xml:space="preserve">Federico </w:t>
      </w:r>
      <w:proofErr w:type="spellStart"/>
      <w:r>
        <w:t>Furiase</w:t>
      </w:r>
      <w:proofErr w:type="spellEnd"/>
      <w:r>
        <w:t xml:space="preserve">, director de Eco </w:t>
      </w:r>
      <w:proofErr w:type="spellStart"/>
      <w:r>
        <w:t>Go</w:t>
      </w:r>
      <w:proofErr w:type="spellEnd"/>
      <w:r>
        <w:t>, resaltó a ámbito.com que la disparada del dólar se dio por un “</w:t>
      </w:r>
      <w:proofErr w:type="spellStart"/>
      <w:r>
        <w:t>sell</w:t>
      </w:r>
      <w:proofErr w:type="spellEnd"/>
      <w:r>
        <w:t xml:space="preserve"> off global (ante una mayor aversión al riesgo), pero Argentina </w:t>
      </w:r>
      <w:proofErr w:type="spellStart"/>
      <w:r>
        <w:t>es´high</w:t>
      </w:r>
      <w:proofErr w:type="spellEnd"/>
      <w:r>
        <w:t xml:space="preserve"> </w:t>
      </w:r>
      <w:r>
        <w:lastRenderedPageBreak/>
        <w:t>beta´ (tiene mayor volatilidad respecto a sus pares) y además pasa factura el riesgo país”, que se ubicaba en los 783 puntos.</w:t>
      </w:r>
    </w:p>
    <w:p w:rsidR="00866BC8" w:rsidRDefault="00866BC8" w:rsidP="00866BC8">
      <w:pPr>
        <w:pStyle w:val="NormalWeb"/>
        <w:jc w:val="both"/>
      </w:pPr>
      <w:r>
        <w:t xml:space="preserve">“Fue fea la señal sobre el final, a pesar de la fuerte contracción monetaria por </w:t>
      </w:r>
      <w:proofErr w:type="spellStart"/>
      <w:r>
        <w:t>Leliqs</w:t>
      </w:r>
      <w:proofErr w:type="spellEnd"/>
      <w:r>
        <w:t xml:space="preserve">, la suba de la tasa promedio se quedó corta, aumentó el spread con la tasa máxima y el tipo de cambio te aniquiló al final de la rueda”, consideró </w:t>
      </w:r>
      <w:proofErr w:type="spellStart"/>
      <w:r>
        <w:t>Furiase</w:t>
      </w:r>
      <w:proofErr w:type="spellEnd"/>
      <w:r>
        <w:t>.</w:t>
      </w:r>
    </w:p>
    <w:p w:rsidR="00866BC8" w:rsidRDefault="00866BC8" w:rsidP="00866BC8">
      <w:pPr>
        <w:pStyle w:val="NormalWeb"/>
        <w:jc w:val="both"/>
      </w:pPr>
      <w:r>
        <w:t xml:space="preserve">Por su parte, el economista Gustavo </w:t>
      </w:r>
      <w:proofErr w:type="spellStart"/>
      <w:r>
        <w:t>Ber</w:t>
      </w:r>
      <w:proofErr w:type="spellEnd"/>
      <w:r>
        <w:t> indicó a este medio que “se está viendo una aceleración del proceso de dolarización, tanto por factores internos, como la incertidumbre electoral, y los malos datos económicos, y también por causas externas, dada la cautela y aversión al riesgo hacia emergentes”.</w:t>
      </w:r>
    </w:p>
    <w:p w:rsidR="00866BC8" w:rsidRDefault="00866BC8" w:rsidP="00866BC8">
      <w:pPr>
        <w:pStyle w:val="NormalWeb"/>
        <w:jc w:val="both"/>
      </w:pPr>
      <w:r>
        <w:t xml:space="preserve">Es que a la incertidumbre doméstica, se están sumando en las últimas ruedas ruidos externos que profundizan la aversión al riesgo y los desarmes de carteras (Wall </w:t>
      </w:r>
      <w:proofErr w:type="spellStart"/>
      <w:r>
        <w:t>Street</w:t>
      </w:r>
      <w:proofErr w:type="spellEnd"/>
      <w:r>
        <w:t xml:space="preserve"> lleva cuatro ruedas con pérdidas).</w:t>
      </w:r>
    </w:p>
    <w:p w:rsidR="00866BC8" w:rsidRDefault="00866BC8" w:rsidP="00866BC8">
      <w:pPr>
        <w:pStyle w:val="NormalWeb"/>
        <w:jc w:val="both"/>
      </w:pPr>
      <w:r>
        <w:t xml:space="preserve">Para el analista financiero Christian </w:t>
      </w:r>
      <w:proofErr w:type="spellStart"/>
      <w:r>
        <w:t>Buteler</w:t>
      </w:r>
      <w:proofErr w:type="spellEnd"/>
      <w:r>
        <w:t xml:space="preserve"> este nuevo salto del dólar “es preocupante”, y es explicado por la “salida de fondos” de la Argentina. Pero, “no solo el dólar sube muchísimo más en Argentina que en la región (en Brasil trepaba 1%), sino que también está aumentando el riesgo país, y baja la mayoría de los </w:t>
      </w:r>
      <w:proofErr w:type="spellStart"/>
      <w:r>
        <w:t>ADRs</w:t>
      </w:r>
      <w:proofErr w:type="spellEnd"/>
      <w:r>
        <w:t>”.</w:t>
      </w:r>
    </w:p>
    <w:p w:rsidR="00866BC8" w:rsidRDefault="00866BC8" w:rsidP="00866BC8">
      <w:pPr>
        <w:pStyle w:val="NormalWeb"/>
        <w:jc w:val="both"/>
      </w:pPr>
      <w:r>
        <w:t xml:space="preserve">Ante este panorama, el BCRA “tiene que abortar este movimiento lo antes posible”, subraya </w:t>
      </w:r>
      <w:proofErr w:type="spellStart"/>
      <w:r>
        <w:t>Buteler</w:t>
      </w:r>
      <w:proofErr w:type="spellEnd"/>
      <w:r>
        <w:t>. Explica que “hoy la principal herramienta que tiene, que es vender dólares”, pero está muy lejos de hacerlo, dado que la divisa opera dentro de la zona de no intervención, cuyas puntas se ubicaron hoy entre $ 38,79 y los $ 50,199.</w:t>
      </w:r>
    </w:p>
    <w:p w:rsidR="00866BC8" w:rsidRDefault="00866BC8" w:rsidP="00866BC8">
      <w:pPr>
        <w:pStyle w:val="NormalWeb"/>
        <w:jc w:val="both"/>
      </w:pPr>
      <w:r>
        <w:t xml:space="preserve">Pon ende, solo puede – de acuerdo a lo pactado con el FMI – intentar mantener el tipo de cambio “a fuerza de tasas y contracción de pesos”, pero este mecanismo, “no solamente es más difícil, y sino que además daña aún más una actividad económica ya muy golpeada”, advierte </w:t>
      </w:r>
      <w:proofErr w:type="spellStart"/>
      <w:r>
        <w:t>Buteler</w:t>
      </w:r>
      <w:proofErr w:type="spellEnd"/>
      <w:r>
        <w:t>.</w:t>
      </w:r>
    </w:p>
    <w:sectPr w:rsidR="00866BC8"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5C2" w:rsidRDefault="00F055C2" w:rsidP="00A22916">
      <w:r>
        <w:separator/>
      </w:r>
    </w:p>
  </w:endnote>
  <w:endnote w:type="continuationSeparator" w:id="0">
    <w:p w:rsidR="00F055C2" w:rsidRDefault="00F055C2"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C2" w:rsidRDefault="00F055C2"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866BC8" w:rsidRPr="00866BC8">
        <w:rPr>
          <w:rFonts w:asciiTheme="majorHAnsi" w:hAnsiTheme="majorHAnsi"/>
          <w:noProof/>
        </w:rPr>
        <w:t>3</w:t>
      </w:r>
    </w:fldSimple>
  </w:p>
  <w:p w:rsidR="00F055C2" w:rsidRDefault="00F055C2" w:rsidP="0063669F">
    <w:pPr>
      <w:pStyle w:val="Piedepgina"/>
    </w:pPr>
  </w:p>
  <w:p w:rsidR="00F055C2" w:rsidRDefault="00F055C2" w:rsidP="0063669F">
    <w:pPr>
      <w:pStyle w:val="Piedepgina"/>
    </w:pPr>
  </w:p>
  <w:p w:rsidR="00F055C2" w:rsidRDefault="00F055C2"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5C2" w:rsidRDefault="00F055C2" w:rsidP="00A22916">
      <w:r>
        <w:separator/>
      </w:r>
    </w:p>
  </w:footnote>
  <w:footnote w:type="continuationSeparator" w:id="0">
    <w:p w:rsidR="00F055C2" w:rsidRDefault="00F055C2"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C2" w:rsidRDefault="00F055C2"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 xml:space="preserve">NEWSLETTER Nº </w:t>
    </w:r>
    <w:r w:rsidR="00866BC8">
      <w:rPr>
        <w:b/>
        <w:sz w:val="40"/>
        <w:szCs w:val="40"/>
      </w:rPr>
      <w:t>10</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0">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6">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8"/>
  </w:num>
  <w:num w:numId="7">
    <w:abstractNumId w:val="16"/>
  </w:num>
  <w:num w:numId="8">
    <w:abstractNumId w:val="15"/>
  </w:num>
  <w:num w:numId="9">
    <w:abstractNumId w:val="9"/>
  </w:num>
  <w:num w:numId="10">
    <w:abstractNumId w:val="14"/>
  </w:num>
  <w:num w:numId="11">
    <w:abstractNumId w:val="8"/>
  </w:num>
  <w:num w:numId="12">
    <w:abstractNumId w:val="10"/>
  </w:num>
  <w:num w:numId="13">
    <w:abstractNumId w:val="11"/>
  </w:num>
  <w:num w:numId="14">
    <w:abstractNumId w:val="3"/>
  </w:num>
  <w:num w:numId="15">
    <w:abstractNumId w:val="5"/>
  </w:num>
  <w:num w:numId="16">
    <w:abstractNumId w:val="2"/>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2113"/>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B1065"/>
    <w:rsid w:val="000B25E4"/>
    <w:rsid w:val="000C4B1E"/>
    <w:rsid w:val="000C4F4D"/>
    <w:rsid w:val="000C519C"/>
    <w:rsid w:val="000C584E"/>
    <w:rsid w:val="000C7AD0"/>
    <w:rsid w:val="000C7BA3"/>
    <w:rsid w:val="000D39D2"/>
    <w:rsid w:val="000D70E0"/>
    <w:rsid w:val="000D70E8"/>
    <w:rsid w:val="000E0356"/>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7B89"/>
    <w:rsid w:val="002312B9"/>
    <w:rsid w:val="00232F64"/>
    <w:rsid w:val="00233626"/>
    <w:rsid w:val="00233E5D"/>
    <w:rsid w:val="00234178"/>
    <w:rsid w:val="002350C4"/>
    <w:rsid w:val="00236C10"/>
    <w:rsid w:val="00242334"/>
    <w:rsid w:val="002462C5"/>
    <w:rsid w:val="002514CE"/>
    <w:rsid w:val="00251B56"/>
    <w:rsid w:val="002551A7"/>
    <w:rsid w:val="00257FF4"/>
    <w:rsid w:val="002623BD"/>
    <w:rsid w:val="002624C4"/>
    <w:rsid w:val="0026302D"/>
    <w:rsid w:val="002638FA"/>
    <w:rsid w:val="0026757F"/>
    <w:rsid w:val="00270353"/>
    <w:rsid w:val="00271C49"/>
    <w:rsid w:val="002763D5"/>
    <w:rsid w:val="002829F3"/>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2500"/>
    <w:rsid w:val="002C3ED4"/>
    <w:rsid w:val="002C5F80"/>
    <w:rsid w:val="002D15E2"/>
    <w:rsid w:val="002D1AF7"/>
    <w:rsid w:val="002D2CE9"/>
    <w:rsid w:val="002D5824"/>
    <w:rsid w:val="002D6A6D"/>
    <w:rsid w:val="002D7BF7"/>
    <w:rsid w:val="002E3DF1"/>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B12"/>
    <w:rsid w:val="0042600F"/>
    <w:rsid w:val="004267D1"/>
    <w:rsid w:val="00426D05"/>
    <w:rsid w:val="00430834"/>
    <w:rsid w:val="00430CD3"/>
    <w:rsid w:val="00437F8F"/>
    <w:rsid w:val="00443CD0"/>
    <w:rsid w:val="004503E0"/>
    <w:rsid w:val="00450B7D"/>
    <w:rsid w:val="00455005"/>
    <w:rsid w:val="00455EBD"/>
    <w:rsid w:val="00456DA9"/>
    <w:rsid w:val="00462760"/>
    <w:rsid w:val="0047057E"/>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617A"/>
    <w:rsid w:val="00593D64"/>
    <w:rsid w:val="00596447"/>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4C64"/>
    <w:rsid w:val="0089551F"/>
    <w:rsid w:val="00897BE8"/>
    <w:rsid w:val="008A40E4"/>
    <w:rsid w:val="008A4816"/>
    <w:rsid w:val="008B03B5"/>
    <w:rsid w:val="008B169F"/>
    <w:rsid w:val="008B173D"/>
    <w:rsid w:val="008B48AF"/>
    <w:rsid w:val="008B4F6A"/>
    <w:rsid w:val="008B6E61"/>
    <w:rsid w:val="008C04BC"/>
    <w:rsid w:val="008C33A4"/>
    <w:rsid w:val="008C6A53"/>
    <w:rsid w:val="008C7B0A"/>
    <w:rsid w:val="008D06FE"/>
    <w:rsid w:val="008D1DA1"/>
    <w:rsid w:val="008D655B"/>
    <w:rsid w:val="008D68D6"/>
    <w:rsid w:val="008E201C"/>
    <w:rsid w:val="008E2D8B"/>
    <w:rsid w:val="008E3464"/>
    <w:rsid w:val="008E3E10"/>
    <w:rsid w:val="008E6731"/>
    <w:rsid w:val="008E7F92"/>
    <w:rsid w:val="008F3757"/>
    <w:rsid w:val="008F5DA5"/>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7871"/>
    <w:rsid w:val="00954837"/>
    <w:rsid w:val="00955F3D"/>
    <w:rsid w:val="00957658"/>
    <w:rsid w:val="009621A7"/>
    <w:rsid w:val="00962DCF"/>
    <w:rsid w:val="00963D50"/>
    <w:rsid w:val="00964163"/>
    <w:rsid w:val="0096547D"/>
    <w:rsid w:val="00970515"/>
    <w:rsid w:val="00975EA7"/>
    <w:rsid w:val="00982F05"/>
    <w:rsid w:val="00983382"/>
    <w:rsid w:val="00983817"/>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5910"/>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433"/>
    <w:rsid w:val="00E52026"/>
    <w:rsid w:val="00E5555E"/>
    <w:rsid w:val="00E576B6"/>
    <w:rsid w:val="00E57F81"/>
    <w:rsid w:val="00E61074"/>
    <w:rsid w:val="00E661C4"/>
    <w:rsid w:val="00E66BAC"/>
    <w:rsid w:val="00E700E6"/>
    <w:rsid w:val="00E711B8"/>
    <w:rsid w:val="00E76F6B"/>
    <w:rsid w:val="00E77486"/>
    <w:rsid w:val="00E80ADB"/>
    <w:rsid w:val="00E810A9"/>
    <w:rsid w:val="00E825AE"/>
    <w:rsid w:val="00E86B90"/>
    <w:rsid w:val="00E90354"/>
    <w:rsid w:val="00E9066D"/>
    <w:rsid w:val="00E932D3"/>
    <w:rsid w:val="00EA16AC"/>
    <w:rsid w:val="00EA2446"/>
    <w:rsid w:val="00EA482E"/>
    <w:rsid w:val="00EA6378"/>
    <w:rsid w:val="00EA770C"/>
    <w:rsid w:val="00EB4775"/>
    <w:rsid w:val="00EB53F9"/>
    <w:rsid w:val="00EB5F3E"/>
    <w:rsid w:val="00ED189B"/>
    <w:rsid w:val="00ED4588"/>
    <w:rsid w:val="00ED4841"/>
    <w:rsid w:val="00ED64C2"/>
    <w:rsid w:val="00EE2967"/>
    <w:rsid w:val="00EE5513"/>
    <w:rsid w:val="00EE618C"/>
    <w:rsid w:val="00EE7AB9"/>
    <w:rsid w:val="00EF21F4"/>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6404"/>
    <w:rsid w:val="00F64307"/>
    <w:rsid w:val="00F643AE"/>
    <w:rsid w:val="00F6464B"/>
    <w:rsid w:val="00F65B24"/>
    <w:rsid w:val="00F73827"/>
    <w:rsid w:val="00F7492C"/>
    <w:rsid w:val="00F74E58"/>
    <w:rsid w:val="00F76356"/>
    <w:rsid w:val="00F7664B"/>
    <w:rsid w:val="00F76B6D"/>
    <w:rsid w:val="00F772E0"/>
    <w:rsid w:val="00F81BC7"/>
    <w:rsid w:val="00F8276D"/>
    <w:rsid w:val="00F84874"/>
    <w:rsid w:val="00F84B85"/>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uiPriority w:val="99"/>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C6ECA-44AF-446F-9980-4BDAE142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927</Words>
  <Characters>5103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2019-03-09T23:43:00Z</dcterms:created>
  <dcterms:modified xsi:type="dcterms:W3CDTF">2019-03-09T23:56:00Z</dcterms:modified>
</cp:coreProperties>
</file>